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EACF4" w14:textId="77777777" w:rsidR="00F557DE" w:rsidRDefault="00F557DE" w:rsidP="0029791F">
      <w:pPr>
        <w:pStyle w:val="Sinespaciado"/>
      </w:pPr>
    </w:p>
    <w:p w14:paraId="41346DD3" w14:textId="0E48BE0F" w:rsidR="004F2D42" w:rsidRDefault="004F2D42" w:rsidP="0010741C">
      <w:pPr>
        <w:jc w:val="center"/>
      </w:pPr>
    </w:p>
    <w:p w14:paraId="13661CCF" w14:textId="76B60C95" w:rsidR="0010741C" w:rsidRPr="00F557DE" w:rsidRDefault="0010741C" w:rsidP="008659D5">
      <w:pPr>
        <w:jc w:val="both"/>
        <w:rPr>
          <w:b/>
          <w:bCs/>
          <w:sz w:val="28"/>
          <w:szCs w:val="28"/>
        </w:rPr>
      </w:pPr>
      <w:r w:rsidRPr="00F557DE">
        <w:rPr>
          <w:b/>
          <w:bCs/>
          <w:sz w:val="28"/>
          <w:szCs w:val="28"/>
        </w:rPr>
        <w:t>Tercer Foro Regional de Evaluación</w:t>
      </w:r>
      <w:r w:rsidR="00F557DE" w:rsidRPr="00F557DE">
        <w:rPr>
          <w:b/>
          <w:bCs/>
          <w:sz w:val="28"/>
          <w:szCs w:val="28"/>
        </w:rPr>
        <w:t xml:space="preserve"> Legislativa y Políticas Públicas </w:t>
      </w:r>
      <w:r w:rsidRPr="00F557DE">
        <w:rPr>
          <w:b/>
          <w:bCs/>
          <w:sz w:val="28"/>
          <w:szCs w:val="28"/>
        </w:rPr>
        <w:t>con perspectiva</w:t>
      </w:r>
      <w:r w:rsidR="00F557DE" w:rsidRPr="00F557DE">
        <w:rPr>
          <w:b/>
          <w:bCs/>
          <w:sz w:val="28"/>
          <w:szCs w:val="28"/>
        </w:rPr>
        <w:t xml:space="preserve"> ciudadana</w:t>
      </w:r>
      <w:r w:rsidR="008659D5">
        <w:rPr>
          <w:b/>
          <w:bCs/>
          <w:sz w:val="28"/>
          <w:szCs w:val="28"/>
        </w:rPr>
        <w:t xml:space="preserve"> celebrado en el marco de la Semana de Evaluación 2020.</w:t>
      </w:r>
    </w:p>
    <w:p w14:paraId="2F51515C" w14:textId="77777777" w:rsidR="0047055A" w:rsidRDefault="0047055A" w:rsidP="0047055A"/>
    <w:p w14:paraId="51B29E24" w14:textId="032DC4D6" w:rsidR="00990B7E" w:rsidRDefault="00990B7E" w:rsidP="00990B7E">
      <w:pPr>
        <w:jc w:val="both"/>
      </w:pPr>
    </w:p>
    <w:p w14:paraId="2522808B" w14:textId="77777777" w:rsidR="00990B7E" w:rsidRDefault="00990B7E" w:rsidP="00990B7E">
      <w:pPr>
        <w:jc w:val="both"/>
        <w:rPr>
          <w:b/>
          <w:bCs/>
        </w:rPr>
      </w:pPr>
      <w:r>
        <w:rPr>
          <w:b/>
          <w:bCs/>
        </w:rPr>
        <w:t>La Semana de la Evaluación en Congreso del Estado de Guanajuato.</w:t>
      </w:r>
    </w:p>
    <w:p w14:paraId="2874B870" w14:textId="6CBC3A77" w:rsidR="00990B7E" w:rsidRDefault="00990B7E" w:rsidP="009901BF">
      <w:pPr>
        <w:spacing w:line="360" w:lineRule="auto"/>
        <w:jc w:val="both"/>
      </w:pPr>
      <w:r>
        <w:t xml:space="preserve">El Congreso del Estado de Guanajuato ha participado en las dos ediciones anteriores con bastante éxito, se ha contado con la </w:t>
      </w:r>
      <w:r w:rsidR="00780957">
        <w:t>contribución de</w:t>
      </w:r>
      <w:r>
        <w:t xml:space="preserve"> destacados ponentes y organizaciones que han tenido resultados destaca</w:t>
      </w:r>
      <w:r w:rsidR="008659D5">
        <w:t>dos</w:t>
      </w:r>
      <w:r>
        <w:t xml:space="preserve"> en materia de evaluación tal es el caso de México </w:t>
      </w:r>
      <w:r w:rsidR="00780957">
        <w:t>Evalúa</w:t>
      </w:r>
      <w:r>
        <w:t xml:space="preserve">, Borde Político y el Instituto Mexicano </w:t>
      </w:r>
      <w:r w:rsidR="00780957">
        <w:t>de la</w:t>
      </w:r>
      <w:r>
        <w:t xml:space="preserve"> Competitividad.</w:t>
      </w:r>
    </w:p>
    <w:p w14:paraId="3A5DB3EC" w14:textId="04FCB732" w:rsidR="00990B7E" w:rsidRDefault="00990B7E" w:rsidP="009901BF">
      <w:pPr>
        <w:spacing w:line="360" w:lineRule="auto"/>
        <w:jc w:val="both"/>
      </w:pPr>
      <w:r>
        <w:t xml:space="preserve">Por otra </w:t>
      </w:r>
      <w:r w:rsidR="00780957">
        <w:t>parte,</w:t>
      </w:r>
      <w:r>
        <w:t xml:space="preserve"> también se ha contado con el apoyo del sector académico el cual es fundamental ya que aportan una visión científica de lo que las instituciones públicas deben hacer para mejorar, ejemplo de ello fue la presencia del Centro de Investigación en Matemáticas</w:t>
      </w:r>
      <w:r w:rsidR="00A4294B">
        <w:t xml:space="preserve"> que</w:t>
      </w:r>
      <w:r>
        <w:t xml:space="preserve"> en la edición pasada brinda</w:t>
      </w:r>
      <w:r w:rsidR="000A5126">
        <w:t>n</w:t>
      </w:r>
      <w:r>
        <w:t xml:space="preserve">do una conferencia magistral sobre la evaluación de impacto y </w:t>
      </w:r>
      <w:r w:rsidR="008659D5">
        <w:t xml:space="preserve">su apoyo con </w:t>
      </w:r>
      <w:r>
        <w:t>la impartición de talleres sobre el uso de la metodología de marco lógico para la evaluación de políticas públicas.</w:t>
      </w:r>
    </w:p>
    <w:p w14:paraId="36987591" w14:textId="11E30D80" w:rsidR="00990B7E" w:rsidRDefault="00990B7E" w:rsidP="009901BF">
      <w:pPr>
        <w:spacing w:line="360" w:lineRule="auto"/>
        <w:jc w:val="both"/>
      </w:pPr>
    </w:p>
    <w:p w14:paraId="4E89A876" w14:textId="3B10F68A" w:rsidR="00990B7E" w:rsidRDefault="008659D5" w:rsidP="009901BF">
      <w:pPr>
        <w:spacing w:line="360" w:lineRule="auto"/>
        <w:jc w:val="both"/>
      </w:pPr>
      <w:r>
        <w:t>Reconociendo que, además de la academia y la sociedad civil organizada, una parte esencial de la evaluación la constituye</w:t>
      </w:r>
      <w:r w:rsidR="00990B7E">
        <w:t xml:space="preserve"> el componente ciudadano</w:t>
      </w:r>
      <w:r>
        <w:t>,</w:t>
      </w:r>
      <w:r w:rsidR="00990B7E">
        <w:t xml:space="preserve"> </w:t>
      </w:r>
      <w:r>
        <w:t xml:space="preserve">sobre todo con base en </w:t>
      </w:r>
      <w:r w:rsidR="00990B7E">
        <w:t xml:space="preserve">el modelo de parlamento </w:t>
      </w:r>
      <w:r w:rsidR="00DE2443">
        <w:t>abierto, esta</w:t>
      </w:r>
      <w:r>
        <w:t xml:space="preserve"> tercera edición se denominará: “</w:t>
      </w:r>
      <w:r w:rsidRPr="008659D5">
        <w:t>Tercer Foro Regional de Evaluación Legislativa y Políticas Públicas con perspectiva ciudadana</w:t>
      </w:r>
      <w:r>
        <w:t>”</w:t>
      </w:r>
      <w:r w:rsidRPr="008659D5">
        <w:t>.</w:t>
      </w:r>
    </w:p>
    <w:p w14:paraId="6894484F" w14:textId="77777777" w:rsidR="00990B7E" w:rsidRDefault="00990B7E" w:rsidP="00460A06">
      <w:pPr>
        <w:jc w:val="both"/>
        <w:rPr>
          <w:b/>
          <w:bCs/>
        </w:rPr>
      </w:pPr>
    </w:p>
    <w:p w14:paraId="6AD5EFCB" w14:textId="193A1F10" w:rsidR="00F557DE" w:rsidRDefault="00F557DE"/>
    <w:p w14:paraId="65C65E3C" w14:textId="061A1132" w:rsidR="000D3A21" w:rsidRDefault="000D3A21"/>
    <w:p w14:paraId="31126622" w14:textId="29E4FE52" w:rsidR="000D3A21" w:rsidRDefault="000D3A21"/>
    <w:p w14:paraId="50FD4CB4" w14:textId="20748915" w:rsidR="000D3A21" w:rsidRDefault="000D3A21"/>
    <w:p w14:paraId="31BBAF7D" w14:textId="0848257B" w:rsidR="000D3A21" w:rsidRDefault="000D3A21"/>
    <w:p w14:paraId="52D295B5" w14:textId="73C6192B" w:rsidR="000D3A21" w:rsidRDefault="000D3A21"/>
    <w:p w14:paraId="11C06D5A" w14:textId="1E2FCA5F" w:rsidR="000D3A21" w:rsidRDefault="000D3A21"/>
    <w:p w14:paraId="2A736C97" w14:textId="29199AAC" w:rsidR="000D3A21" w:rsidRDefault="000D3A21"/>
    <w:p w14:paraId="564F8CB4" w14:textId="44D5B586" w:rsidR="000D3A21" w:rsidRDefault="000D3A21"/>
    <w:p w14:paraId="3747B6E4" w14:textId="5540207E" w:rsidR="000D3A21" w:rsidRDefault="000D3A21"/>
    <w:p w14:paraId="182B6F8C" w14:textId="77777777" w:rsidR="000D3A21" w:rsidRDefault="000D3A21"/>
    <w:p w14:paraId="22D02E3C" w14:textId="4EDD46BA" w:rsidR="00460A06" w:rsidRPr="00F557DE" w:rsidRDefault="0047055A">
      <w:pPr>
        <w:rPr>
          <w:b/>
          <w:bCs/>
        </w:rPr>
      </w:pPr>
      <w:r w:rsidRPr="00F557DE">
        <w:rPr>
          <w:b/>
          <w:bCs/>
        </w:rPr>
        <w:t>Propuesta de programa</w:t>
      </w:r>
    </w:p>
    <w:p w14:paraId="19EF2BAF" w14:textId="77777777" w:rsidR="00F557DE" w:rsidRDefault="00F557DE"/>
    <w:p w14:paraId="15928895" w14:textId="62A9525C" w:rsidR="00F557DE" w:rsidRDefault="00F557DE" w:rsidP="00F557DE">
      <w:r w:rsidRPr="00C66F37">
        <w:rPr>
          <w:b/>
          <w:bCs/>
        </w:rPr>
        <w:t>Fecha:</w:t>
      </w:r>
      <w:r>
        <w:t xml:space="preserve"> 5 de junio </w:t>
      </w:r>
      <w:r w:rsidR="00780957">
        <w:t>d</w:t>
      </w:r>
      <w:r>
        <w:t>el 2020</w:t>
      </w:r>
    </w:p>
    <w:p w14:paraId="0A30E419" w14:textId="5CA53A0E" w:rsidR="00F557DE" w:rsidRDefault="00F557DE" w:rsidP="00F557DE">
      <w:r w:rsidRPr="00C66F37">
        <w:rPr>
          <w:b/>
          <w:bCs/>
        </w:rPr>
        <w:t>Lugar:</w:t>
      </w:r>
      <w:r>
        <w:t xml:space="preserve"> </w:t>
      </w:r>
      <w:r w:rsidR="00EC480D">
        <w:t>En línea</w:t>
      </w:r>
      <w:r>
        <w:t>.</w:t>
      </w:r>
    </w:p>
    <w:p w14:paraId="2B514802" w14:textId="684447AC" w:rsidR="00F557DE" w:rsidRDefault="00F557DE" w:rsidP="0047055A"/>
    <w:tbl>
      <w:tblPr>
        <w:tblStyle w:val="Tablaconcuadrcula"/>
        <w:tblW w:w="9209" w:type="dxa"/>
        <w:tblLook w:val="04A0" w:firstRow="1" w:lastRow="0" w:firstColumn="1" w:lastColumn="0" w:noHBand="0" w:noVBand="1"/>
      </w:tblPr>
      <w:tblGrid>
        <w:gridCol w:w="1924"/>
        <w:gridCol w:w="1757"/>
        <w:gridCol w:w="5528"/>
      </w:tblGrid>
      <w:tr w:rsidR="0029791F" w14:paraId="561678A7" w14:textId="77777777" w:rsidTr="000D3A21">
        <w:trPr>
          <w:trHeight w:val="340"/>
        </w:trPr>
        <w:tc>
          <w:tcPr>
            <w:tcW w:w="9209" w:type="dxa"/>
            <w:gridSpan w:val="3"/>
            <w:shd w:val="clear" w:color="auto" w:fill="FFC000"/>
          </w:tcPr>
          <w:p w14:paraId="082D8A12" w14:textId="71F9E2A6" w:rsidR="0029791F" w:rsidRPr="00C66F37" w:rsidRDefault="0029791F" w:rsidP="0029791F">
            <w:pPr>
              <w:jc w:val="center"/>
              <w:rPr>
                <w:b/>
                <w:bCs/>
              </w:rPr>
            </w:pPr>
            <w:r w:rsidRPr="00C66F37">
              <w:rPr>
                <w:b/>
                <w:bCs/>
              </w:rPr>
              <w:t>Propuesta de programa.</w:t>
            </w:r>
          </w:p>
        </w:tc>
      </w:tr>
      <w:tr w:rsidR="0029791F" w14:paraId="49337120" w14:textId="77777777" w:rsidTr="000D3A21">
        <w:trPr>
          <w:trHeight w:val="340"/>
        </w:trPr>
        <w:tc>
          <w:tcPr>
            <w:tcW w:w="1924" w:type="dxa"/>
          </w:tcPr>
          <w:p w14:paraId="6E8FCFE5" w14:textId="77777777" w:rsidR="0029791F" w:rsidRPr="00C66F37" w:rsidRDefault="0029791F" w:rsidP="0029791F">
            <w:pPr>
              <w:jc w:val="center"/>
              <w:rPr>
                <w:b/>
                <w:bCs/>
              </w:rPr>
            </w:pPr>
            <w:r w:rsidRPr="00C66F37">
              <w:rPr>
                <w:b/>
                <w:bCs/>
              </w:rPr>
              <w:t>Actividad</w:t>
            </w:r>
          </w:p>
        </w:tc>
        <w:tc>
          <w:tcPr>
            <w:tcW w:w="1757" w:type="dxa"/>
          </w:tcPr>
          <w:p w14:paraId="6B81EF96" w14:textId="43363CC8" w:rsidR="0029791F" w:rsidRPr="00C66F37" w:rsidRDefault="0029791F" w:rsidP="0029791F">
            <w:pPr>
              <w:jc w:val="center"/>
              <w:rPr>
                <w:b/>
                <w:bCs/>
              </w:rPr>
            </w:pPr>
            <w:r w:rsidRPr="00C66F37">
              <w:rPr>
                <w:b/>
                <w:bCs/>
              </w:rPr>
              <w:t>Hora</w:t>
            </w:r>
          </w:p>
        </w:tc>
        <w:tc>
          <w:tcPr>
            <w:tcW w:w="5528" w:type="dxa"/>
          </w:tcPr>
          <w:p w14:paraId="1E276BAB" w14:textId="4E6A9FD1" w:rsidR="0029791F" w:rsidRPr="00C66F37" w:rsidRDefault="0029791F" w:rsidP="0029791F">
            <w:pPr>
              <w:jc w:val="center"/>
              <w:rPr>
                <w:b/>
                <w:bCs/>
              </w:rPr>
            </w:pPr>
            <w:r w:rsidRPr="00C66F37">
              <w:rPr>
                <w:b/>
                <w:bCs/>
              </w:rPr>
              <w:t>Dinámica</w:t>
            </w:r>
          </w:p>
        </w:tc>
      </w:tr>
      <w:tr w:rsidR="0029791F" w14:paraId="1D60960C" w14:textId="77777777" w:rsidTr="000D3A21">
        <w:trPr>
          <w:trHeight w:val="456"/>
        </w:trPr>
        <w:tc>
          <w:tcPr>
            <w:tcW w:w="1924" w:type="dxa"/>
          </w:tcPr>
          <w:p w14:paraId="5587C08D" w14:textId="77777777" w:rsidR="0029791F" w:rsidRPr="00A96DB9" w:rsidRDefault="0029791F" w:rsidP="0029791F">
            <w:pPr>
              <w:jc w:val="center"/>
            </w:pPr>
            <w:r w:rsidRPr="00A96DB9">
              <w:t>Registro de asistentes.</w:t>
            </w:r>
          </w:p>
        </w:tc>
        <w:tc>
          <w:tcPr>
            <w:tcW w:w="1757" w:type="dxa"/>
          </w:tcPr>
          <w:p w14:paraId="616245A3" w14:textId="5D1F7144" w:rsidR="0029791F" w:rsidRDefault="0029791F" w:rsidP="0029791F">
            <w:pPr>
              <w:jc w:val="center"/>
            </w:pPr>
            <w:r>
              <w:t>9:30-10:00</w:t>
            </w:r>
          </w:p>
        </w:tc>
        <w:tc>
          <w:tcPr>
            <w:tcW w:w="5528" w:type="dxa"/>
          </w:tcPr>
          <w:p w14:paraId="53F2B897" w14:textId="739F49E4" w:rsidR="0029791F" w:rsidRDefault="00EC480D" w:rsidP="00EC480D">
            <w:r>
              <w:t>Ingreso de los participantes a la videoconferencia</w:t>
            </w:r>
          </w:p>
        </w:tc>
      </w:tr>
      <w:tr w:rsidR="0029791F" w14:paraId="02DFEB7C" w14:textId="77777777" w:rsidTr="000D3A21">
        <w:trPr>
          <w:trHeight w:val="959"/>
        </w:trPr>
        <w:tc>
          <w:tcPr>
            <w:tcW w:w="1924" w:type="dxa"/>
          </w:tcPr>
          <w:p w14:paraId="72515131" w14:textId="5763F0C6" w:rsidR="0029791F" w:rsidRDefault="00EC480D" w:rsidP="00EC480D">
            <w:pPr>
              <w:jc w:val="center"/>
            </w:pPr>
            <w:r>
              <w:t>Experiencias y resultados de los observatorios ciudadanos en el Estado de Guanajuato</w:t>
            </w:r>
          </w:p>
        </w:tc>
        <w:tc>
          <w:tcPr>
            <w:tcW w:w="1757" w:type="dxa"/>
          </w:tcPr>
          <w:p w14:paraId="02BBCAF5" w14:textId="77777777" w:rsidR="0029791F" w:rsidRDefault="0029791F" w:rsidP="0029791F">
            <w:pPr>
              <w:jc w:val="center"/>
            </w:pPr>
          </w:p>
          <w:p w14:paraId="4D2802BB" w14:textId="619AF510" w:rsidR="0029791F" w:rsidRDefault="0029791F" w:rsidP="0029791F">
            <w:pPr>
              <w:jc w:val="center"/>
            </w:pPr>
            <w:r>
              <w:t>10:</w:t>
            </w:r>
            <w:r w:rsidR="00EC480D">
              <w:t>00</w:t>
            </w:r>
            <w:r>
              <w:t>-1</w:t>
            </w:r>
            <w:r w:rsidR="00EC5D61">
              <w:t>2</w:t>
            </w:r>
            <w:r w:rsidR="00EC480D">
              <w:t>:00</w:t>
            </w:r>
          </w:p>
        </w:tc>
        <w:tc>
          <w:tcPr>
            <w:tcW w:w="5528" w:type="dxa"/>
          </w:tcPr>
          <w:p w14:paraId="34A4B173" w14:textId="70428EE5" w:rsidR="0029791F" w:rsidRDefault="00EC480D" w:rsidP="0029791F">
            <w:pPr>
              <w:jc w:val="both"/>
            </w:pPr>
            <w:r>
              <w:t>Se llevará a cabo una mesa de diálogo entre los representantes de los observatorios ciudadanos de los municipios de León, Guanajuato, Irapuato y del Observatorio Ciudadano Legislativo aunada a la presencia de una organización de la sociedad civil que tenga por objeto promover el desarrollo integral de los jóvenes con el propósito de aglutinar diferentes enfoques para la discusión de la importancia que ejerce el liderazgo ciudadano en la observancia del quehacer público.</w:t>
            </w:r>
          </w:p>
        </w:tc>
      </w:tr>
      <w:tr w:rsidR="0029791F" w14:paraId="243CB63E" w14:textId="77777777" w:rsidTr="000D3A21">
        <w:trPr>
          <w:trHeight w:val="359"/>
        </w:trPr>
        <w:tc>
          <w:tcPr>
            <w:tcW w:w="1924" w:type="dxa"/>
          </w:tcPr>
          <w:p w14:paraId="5FB3D592" w14:textId="77777777" w:rsidR="0029791F" w:rsidRDefault="0029791F" w:rsidP="0029791F">
            <w:pPr>
              <w:jc w:val="center"/>
            </w:pPr>
            <w:proofErr w:type="gramStart"/>
            <w:r>
              <w:t>Master</w:t>
            </w:r>
            <w:proofErr w:type="gramEnd"/>
            <w:r>
              <w:t xml:space="preserve"> </w:t>
            </w:r>
            <w:proofErr w:type="spellStart"/>
            <w:r>
              <w:t>Class</w:t>
            </w:r>
            <w:proofErr w:type="spellEnd"/>
            <w:r>
              <w:t>: ¿Qué hacer para vigilar y mejorar a las instituciones públicas desde la sociedad civil?</w:t>
            </w:r>
          </w:p>
        </w:tc>
        <w:tc>
          <w:tcPr>
            <w:tcW w:w="1757" w:type="dxa"/>
          </w:tcPr>
          <w:p w14:paraId="62AC23BB" w14:textId="7A78926F" w:rsidR="0029791F" w:rsidRDefault="0029791F" w:rsidP="0029791F">
            <w:pPr>
              <w:jc w:val="center"/>
            </w:pPr>
            <w:r>
              <w:t>1</w:t>
            </w:r>
            <w:r w:rsidR="00EC5D61">
              <w:t>2</w:t>
            </w:r>
            <w:r w:rsidR="00EC480D">
              <w:t>:00</w:t>
            </w:r>
            <w:r>
              <w:t>-1</w:t>
            </w:r>
            <w:r w:rsidR="00EC5D61">
              <w:t>4</w:t>
            </w:r>
            <w:r>
              <w:t>:00</w:t>
            </w:r>
          </w:p>
        </w:tc>
        <w:tc>
          <w:tcPr>
            <w:tcW w:w="5528" w:type="dxa"/>
          </w:tcPr>
          <w:p w14:paraId="11152240" w14:textId="2D564BF1" w:rsidR="0029791F" w:rsidRDefault="0029791F" w:rsidP="0029791F">
            <w:pPr>
              <w:jc w:val="both"/>
            </w:pPr>
            <w:r>
              <w:t>Se busca contar con la participación de la academia a fin de aprender sobre la evaluación, la participación ciudadana y su relación con la democracia.</w:t>
            </w:r>
            <w:bookmarkStart w:id="0" w:name="_GoBack"/>
            <w:bookmarkEnd w:id="0"/>
          </w:p>
        </w:tc>
      </w:tr>
    </w:tbl>
    <w:p w14:paraId="7959B9EA" w14:textId="023E4384" w:rsidR="00F557DE" w:rsidRDefault="00F557DE" w:rsidP="0047055A"/>
    <w:p w14:paraId="21493C86" w14:textId="11A39642" w:rsidR="00F557DE" w:rsidRDefault="00F557DE" w:rsidP="0047055A"/>
    <w:p w14:paraId="18F8CF6B" w14:textId="1C3A047B" w:rsidR="00F557DE" w:rsidRDefault="00F557DE" w:rsidP="008659D5"/>
    <w:p w14:paraId="6766B7FB" w14:textId="32907FB3" w:rsidR="0044085D" w:rsidRPr="0044085D" w:rsidRDefault="0044085D" w:rsidP="0044085D">
      <w:pPr>
        <w:jc w:val="right"/>
        <w:rPr>
          <w:b/>
          <w:bCs/>
        </w:rPr>
      </w:pPr>
      <w:r w:rsidRPr="0044085D">
        <w:rPr>
          <w:b/>
          <w:bCs/>
        </w:rPr>
        <w:t>Unidad de Seguimiento y Análisis de Impacto Legislativo.</w:t>
      </w:r>
    </w:p>
    <w:p w14:paraId="6C7FC6F3" w14:textId="0C2868BF" w:rsidR="0044085D" w:rsidRPr="0044085D" w:rsidRDefault="00EC480D" w:rsidP="0044085D">
      <w:pPr>
        <w:jc w:val="right"/>
        <w:rPr>
          <w:b/>
          <w:bCs/>
        </w:rPr>
      </w:pPr>
      <w:r>
        <w:rPr>
          <w:b/>
          <w:bCs/>
        </w:rPr>
        <w:t>14</w:t>
      </w:r>
      <w:r w:rsidR="0044085D" w:rsidRPr="0044085D">
        <w:rPr>
          <w:b/>
          <w:bCs/>
        </w:rPr>
        <w:t xml:space="preserve"> de </w:t>
      </w:r>
      <w:r>
        <w:rPr>
          <w:b/>
          <w:bCs/>
        </w:rPr>
        <w:t>abril</w:t>
      </w:r>
      <w:r w:rsidR="0044085D" w:rsidRPr="0044085D">
        <w:rPr>
          <w:b/>
          <w:bCs/>
        </w:rPr>
        <w:t xml:space="preserve"> de 2020.</w:t>
      </w:r>
    </w:p>
    <w:p w14:paraId="3AB7C998" w14:textId="37BDA349" w:rsidR="00F557DE" w:rsidRPr="0044085D" w:rsidRDefault="00F557DE" w:rsidP="0047055A">
      <w:pPr>
        <w:rPr>
          <w:b/>
          <w:bCs/>
        </w:rPr>
      </w:pPr>
    </w:p>
    <w:p w14:paraId="012E03E9" w14:textId="77777777" w:rsidR="00F557DE" w:rsidRDefault="00F557DE" w:rsidP="0047055A"/>
    <w:sectPr w:rsidR="00F557DE" w:rsidSect="00C27A9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05C0F" w14:textId="77777777" w:rsidR="007636DD" w:rsidRDefault="007636DD" w:rsidP="00460A06">
      <w:r>
        <w:separator/>
      </w:r>
    </w:p>
  </w:endnote>
  <w:endnote w:type="continuationSeparator" w:id="0">
    <w:p w14:paraId="247DBF14" w14:textId="77777777" w:rsidR="007636DD" w:rsidRDefault="007636DD" w:rsidP="0046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642385"/>
      <w:docPartObj>
        <w:docPartGallery w:val="Page Numbers (Bottom of Page)"/>
        <w:docPartUnique/>
      </w:docPartObj>
    </w:sdtPr>
    <w:sdtEndPr/>
    <w:sdtContent>
      <w:sdt>
        <w:sdtPr>
          <w:id w:val="-1769616900"/>
          <w:docPartObj>
            <w:docPartGallery w:val="Page Numbers (Top of Page)"/>
            <w:docPartUnique/>
          </w:docPartObj>
        </w:sdtPr>
        <w:sdtEndPr/>
        <w:sdtContent>
          <w:p w14:paraId="723BF5BE" w14:textId="5F9E0593" w:rsidR="0044085D" w:rsidRDefault="0044085D">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0B7E3429" w14:textId="77777777" w:rsidR="0044085D" w:rsidRDefault="004408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CC777" w14:textId="77777777" w:rsidR="007636DD" w:rsidRDefault="007636DD" w:rsidP="00460A06">
      <w:r>
        <w:separator/>
      </w:r>
    </w:p>
  </w:footnote>
  <w:footnote w:type="continuationSeparator" w:id="0">
    <w:p w14:paraId="3F4C203E" w14:textId="77777777" w:rsidR="007636DD" w:rsidRDefault="007636DD" w:rsidP="00460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AD42C" w14:textId="2D4A9E92" w:rsidR="00F557DE" w:rsidRDefault="00F557DE" w:rsidP="00F557DE">
    <w:pPr>
      <w:pStyle w:val="Encabezado"/>
      <w:jc w:val="center"/>
    </w:pPr>
    <w:r>
      <w:rPr>
        <w:noProof/>
      </w:rPr>
      <w:drawing>
        <wp:inline distT="0" distB="0" distL="0" distR="0" wp14:anchorId="22B1FFD6" wp14:editId="73FE513E">
          <wp:extent cx="1453136" cy="7747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64-COLOR.jpg"/>
                  <pic:cNvPicPr/>
                </pic:nvPicPr>
                <pic:blipFill>
                  <a:blip r:embed="rId1">
                    <a:extLst>
                      <a:ext uri="{28A0092B-C50C-407E-A947-70E740481C1C}">
                        <a14:useLocalDpi xmlns:a14="http://schemas.microsoft.com/office/drawing/2010/main" val="0"/>
                      </a:ext>
                    </a:extLst>
                  </a:blip>
                  <a:stretch>
                    <a:fillRect/>
                  </a:stretch>
                </pic:blipFill>
                <pic:spPr>
                  <a:xfrm>
                    <a:off x="0" y="0"/>
                    <a:ext cx="1456498" cy="7764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349EC"/>
    <w:multiLevelType w:val="hybridMultilevel"/>
    <w:tmpl w:val="5B541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4923AE"/>
    <w:multiLevelType w:val="hybridMultilevel"/>
    <w:tmpl w:val="01B6F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B67D81"/>
    <w:multiLevelType w:val="hybridMultilevel"/>
    <w:tmpl w:val="0A42C2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6D6360"/>
    <w:multiLevelType w:val="hybridMultilevel"/>
    <w:tmpl w:val="30C0C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9836A2B"/>
    <w:multiLevelType w:val="hybridMultilevel"/>
    <w:tmpl w:val="675C8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1C"/>
    <w:rsid w:val="000359F3"/>
    <w:rsid w:val="000752CF"/>
    <w:rsid w:val="000A5126"/>
    <w:rsid w:val="000D3A21"/>
    <w:rsid w:val="0010741C"/>
    <w:rsid w:val="00135B46"/>
    <w:rsid w:val="00155C20"/>
    <w:rsid w:val="00171B97"/>
    <w:rsid w:val="0029483B"/>
    <w:rsid w:val="0029791F"/>
    <w:rsid w:val="003066A8"/>
    <w:rsid w:val="00327417"/>
    <w:rsid w:val="0044085D"/>
    <w:rsid w:val="00460A06"/>
    <w:rsid w:val="0047055A"/>
    <w:rsid w:val="004F2D42"/>
    <w:rsid w:val="00616977"/>
    <w:rsid w:val="007636DD"/>
    <w:rsid w:val="00780957"/>
    <w:rsid w:val="00852F2A"/>
    <w:rsid w:val="008659D5"/>
    <w:rsid w:val="00973F70"/>
    <w:rsid w:val="009901BF"/>
    <w:rsid w:val="00990B7E"/>
    <w:rsid w:val="009D15C2"/>
    <w:rsid w:val="009E2676"/>
    <w:rsid w:val="00A4294B"/>
    <w:rsid w:val="00A96DB9"/>
    <w:rsid w:val="00AE03BF"/>
    <w:rsid w:val="00AF7367"/>
    <w:rsid w:val="00C27A9D"/>
    <w:rsid w:val="00C30347"/>
    <w:rsid w:val="00C66F37"/>
    <w:rsid w:val="00DA3816"/>
    <w:rsid w:val="00DE2443"/>
    <w:rsid w:val="00E02295"/>
    <w:rsid w:val="00EA7B88"/>
    <w:rsid w:val="00EC480D"/>
    <w:rsid w:val="00EC5D61"/>
    <w:rsid w:val="00F1478B"/>
    <w:rsid w:val="00F557DE"/>
    <w:rsid w:val="00FD23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CB78D"/>
  <w15:chartTrackingRefBased/>
  <w15:docId w15:val="{7CE23B1E-1DD6-8342-BDD0-8C411288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0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9483B"/>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9483B"/>
    <w:rPr>
      <w:rFonts w:ascii="Times New Roman" w:hAnsi="Times New Roman" w:cs="Times New Roman"/>
      <w:sz w:val="18"/>
      <w:szCs w:val="18"/>
    </w:rPr>
  </w:style>
  <w:style w:type="paragraph" w:styleId="Encabezado">
    <w:name w:val="header"/>
    <w:basedOn w:val="Normal"/>
    <w:link w:val="EncabezadoCar"/>
    <w:uiPriority w:val="99"/>
    <w:unhideWhenUsed/>
    <w:rsid w:val="00460A06"/>
    <w:pPr>
      <w:tabs>
        <w:tab w:val="center" w:pos="4419"/>
        <w:tab w:val="right" w:pos="8838"/>
      </w:tabs>
    </w:pPr>
  </w:style>
  <w:style w:type="character" w:customStyle="1" w:styleId="EncabezadoCar">
    <w:name w:val="Encabezado Car"/>
    <w:basedOn w:val="Fuentedeprrafopredeter"/>
    <w:link w:val="Encabezado"/>
    <w:uiPriority w:val="99"/>
    <w:rsid w:val="00460A06"/>
  </w:style>
  <w:style w:type="paragraph" w:styleId="Piedepgina">
    <w:name w:val="footer"/>
    <w:basedOn w:val="Normal"/>
    <w:link w:val="PiedepginaCar"/>
    <w:uiPriority w:val="99"/>
    <w:unhideWhenUsed/>
    <w:rsid w:val="00460A06"/>
    <w:pPr>
      <w:tabs>
        <w:tab w:val="center" w:pos="4419"/>
        <w:tab w:val="right" w:pos="8838"/>
      </w:tabs>
    </w:pPr>
  </w:style>
  <w:style w:type="character" w:customStyle="1" w:styleId="PiedepginaCar">
    <w:name w:val="Pie de página Car"/>
    <w:basedOn w:val="Fuentedeprrafopredeter"/>
    <w:link w:val="Piedepgina"/>
    <w:uiPriority w:val="99"/>
    <w:rsid w:val="00460A06"/>
  </w:style>
  <w:style w:type="paragraph" w:styleId="Prrafodelista">
    <w:name w:val="List Paragraph"/>
    <w:basedOn w:val="Normal"/>
    <w:uiPriority w:val="34"/>
    <w:qFormat/>
    <w:rsid w:val="00F557DE"/>
    <w:pPr>
      <w:ind w:left="720"/>
      <w:contextualSpacing/>
    </w:pPr>
  </w:style>
  <w:style w:type="paragraph" w:styleId="Sinespaciado">
    <w:name w:val="No Spacing"/>
    <w:uiPriority w:val="1"/>
    <w:qFormat/>
    <w:rsid w:val="00297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388</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Fernanda Arreguín Gámez</dc:creator>
  <cp:keywords/>
  <dc:description/>
  <cp:lastModifiedBy>Fernando Antonio Acosta Cervantes</cp:lastModifiedBy>
  <cp:revision>3</cp:revision>
  <dcterms:created xsi:type="dcterms:W3CDTF">2020-04-14T19:02:00Z</dcterms:created>
  <dcterms:modified xsi:type="dcterms:W3CDTF">2020-04-14T19:10:00Z</dcterms:modified>
</cp:coreProperties>
</file>