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E3C2" w14:textId="777102F0" w:rsidR="00142BF9" w:rsidRPr="00910C13" w:rsidRDefault="00B11EB6" w:rsidP="00B11EB6">
      <w:pPr>
        <w:jc w:val="center"/>
        <w:rPr>
          <w:b/>
          <w:bCs/>
          <w:sz w:val="32"/>
          <w:szCs w:val="32"/>
        </w:rPr>
      </w:pPr>
      <w:r w:rsidRPr="00910C13">
        <w:rPr>
          <w:b/>
          <w:bCs/>
          <w:sz w:val="32"/>
          <w:szCs w:val="32"/>
        </w:rPr>
        <w:t>Proposal for Hosting Global Eval2020</w:t>
      </w:r>
    </w:p>
    <w:p w14:paraId="458A9B36" w14:textId="50C4A7DB" w:rsidR="00B11EB6" w:rsidRPr="00910C13" w:rsidRDefault="00B11EB6" w:rsidP="00B11E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10C13">
        <w:rPr>
          <w:b/>
          <w:bCs/>
          <w:sz w:val="32"/>
          <w:szCs w:val="32"/>
        </w:rPr>
        <w:t>Introduction</w:t>
      </w:r>
    </w:p>
    <w:p w14:paraId="27470BC7" w14:textId="4C97D0A7" w:rsidR="00B11EB6" w:rsidRPr="00910C13" w:rsidRDefault="00AA7C2A" w:rsidP="00B11EB6">
      <w:pPr>
        <w:rPr>
          <w:sz w:val="24"/>
          <w:szCs w:val="24"/>
        </w:rPr>
      </w:pPr>
      <w:r>
        <w:rPr>
          <w:sz w:val="24"/>
          <w:szCs w:val="24"/>
        </w:rPr>
        <w:t xml:space="preserve">Himat Consulting (Pvt) Ltd </w:t>
      </w:r>
      <w:r w:rsidR="00415BB5">
        <w:rPr>
          <w:sz w:val="24"/>
          <w:szCs w:val="24"/>
        </w:rPr>
        <w:t xml:space="preserve">jointly with </w:t>
      </w:r>
      <w:r w:rsidR="006E00D8">
        <w:rPr>
          <w:sz w:val="24"/>
          <w:szCs w:val="24"/>
        </w:rPr>
        <w:t xml:space="preserve">Experts in Management Sciences (Pvt) Ltd propose to </w:t>
      </w:r>
      <w:r w:rsidR="006E00D8" w:rsidRPr="00910C13">
        <w:rPr>
          <w:sz w:val="24"/>
          <w:szCs w:val="24"/>
        </w:rPr>
        <w:t>host a web-based conference on evaluation</w:t>
      </w:r>
      <w:r w:rsidR="006E00D8">
        <w:rPr>
          <w:sz w:val="24"/>
          <w:szCs w:val="24"/>
        </w:rPr>
        <w:t xml:space="preserve"> on 4 June 2020</w:t>
      </w:r>
      <w:r w:rsidR="006E00D8">
        <w:rPr>
          <w:sz w:val="24"/>
          <w:szCs w:val="24"/>
        </w:rPr>
        <w:t>. Both of the organizations are</w:t>
      </w:r>
      <w:r>
        <w:rPr>
          <w:sz w:val="24"/>
          <w:szCs w:val="24"/>
        </w:rPr>
        <w:t xml:space="preserve"> </w:t>
      </w:r>
      <w:r w:rsidRPr="00AA7C2A">
        <w:rPr>
          <w:sz w:val="24"/>
          <w:szCs w:val="24"/>
        </w:rPr>
        <w:t xml:space="preserve">registered with Securities and Exchange Commission of Pakistan under section 16 of Companies Act 2017 (XIX of 2017). </w:t>
      </w:r>
      <w:r w:rsidR="006E00D8">
        <w:rPr>
          <w:sz w:val="24"/>
          <w:szCs w:val="24"/>
        </w:rPr>
        <w:t>Himat Consulting</w:t>
      </w:r>
      <w:r>
        <w:rPr>
          <w:sz w:val="24"/>
          <w:szCs w:val="24"/>
        </w:rPr>
        <w:t xml:space="preserve"> offers consultancy services in areas related to monitoring, evaluation, research and capacity building. In the p</w:t>
      </w:r>
      <w:r w:rsidR="006E00D8">
        <w:rPr>
          <w:sz w:val="24"/>
          <w:szCs w:val="24"/>
        </w:rPr>
        <w:t>a</w:t>
      </w:r>
      <w:r>
        <w:rPr>
          <w:sz w:val="24"/>
          <w:szCs w:val="24"/>
        </w:rPr>
        <w:t>st two years, it has completed over 20 evaluation assignments.</w:t>
      </w:r>
      <w:r w:rsidR="006E00D8">
        <w:rPr>
          <w:sz w:val="24"/>
          <w:szCs w:val="24"/>
        </w:rPr>
        <w:t xml:space="preserve"> </w:t>
      </w:r>
      <w:r w:rsidR="00716E96">
        <w:rPr>
          <w:sz w:val="24"/>
          <w:szCs w:val="24"/>
        </w:rPr>
        <w:t>While Experts in Management Services offers capacity building services in academia.</w:t>
      </w:r>
    </w:p>
    <w:p w14:paraId="5D3C9E79" w14:textId="772C77D9" w:rsidR="00B11EB6" w:rsidRDefault="00B11EB6" w:rsidP="00B11EB6">
      <w:pPr>
        <w:rPr>
          <w:sz w:val="24"/>
          <w:szCs w:val="24"/>
        </w:rPr>
      </w:pPr>
      <w:bookmarkStart w:id="0" w:name="_GoBack"/>
      <w:bookmarkEnd w:id="0"/>
      <w:r w:rsidRPr="00910C13">
        <w:rPr>
          <w:sz w:val="24"/>
          <w:szCs w:val="24"/>
        </w:rPr>
        <w:t>Key features of the conference are proposed in the following sections</w:t>
      </w:r>
      <w:r w:rsidR="00CA0B2A">
        <w:rPr>
          <w:sz w:val="24"/>
          <w:szCs w:val="24"/>
        </w:rPr>
        <w:t xml:space="preserve">. </w:t>
      </w:r>
    </w:p>
    <w:p w14:paraId="66E1C472" w14:textId="77777777" w:rsidR="00354A3B" w:rsidRPr="00910C13" w:rsidRDefault="00354A3B" w:rsidP="00B11EB6">
      <w:pPr>
        <w:rPr>
          <w:sz w:val="24"/>
          <w:szCs w:val="24"/>
        </w:rPr>
      </w:pPr>
    </w:p>
    <w:p w14:paraId="50F5B9BE" w14:textId="6362FFC1" w:rsidR="00B11EB6" w:rsidRPr="00910C13" w:rsidRDefault="00B11EB6" w:rsidP="00B11EB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10C13">
        <w:rPr>
          <w:b/>
          <w:bCs/>
          <w:sz w:val="32"/>
          <w:szCs w:val="32"/>
        </w:rPr>
        <w:t>Themes of the conference</w:t>
      </w:r>
    </w:p>
    <w:p w14:paraId="67FA7D8E" w14:textId="4B1DF96B" w:rsidR="00B11EB6" w:rsidRPr="00910C13" w:rsidRDefault="00910C13" w:rsidP="00B11EB6">
      <w:pPr>
        <w:rPr>
          <w:sz w:val="24"/>
          <w:szCs w:val="24"/>
        </w:rPr>
      </w:pPr>
      <w:r w:rsidRPr="00910C13">
        <w:rPr>
          <w:sz w:val="24"/>
          <w:szCs w:val="24"/>
        </w:rPr>
        <w:t>Themes of the conference are proposed as follows:</w:t>
      </w:r>
    </w:p>
    <w:p w14:paraId="60B0CA83" w14:textId="33CE7789" w:rsidR="00910C13" w:rsidRPr="00910C13" w:rsidRDefault="00910C13" w:rsidP="00910C13">
      <w:pPr>
        <w:pStyle w:val="ListParagraph"/>
        <w:numPr>
          <w:ilvl w:val="0"/>
          <w:numId w:val="2"/>
        </w:numPr>
        <w:rPr>
          <w:rFonts w:ascii="Calibri" w:hAnsi="Calibri" w:cs="Calibri"/>
          <w:color w:val="666666"/>
          <w:sz w:val="24"/>
          <w:szCs w:val="24"/>
          <w:shd w:val="clear" w:color="auto" w:fill="FFFFFF"/>
        </w:rPr>
      </w:pPr>
      <w:r w:rsidRPr="00910C13"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  <w:t>Monitoring and evaluation methods</w:t>
      </w:r>
      <w:r w:rsidRPr="00910C13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: Qualitative methods, quantitative methods, mixed methods</w:t>
      </w:r>
      <w:r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, adaptation of methods, best practices, designing of tools, sampling strategies, analysis of results</w:t>
      </w:r>
      <w:r w:rsidR="003F3DE9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, issues of reliability, validity and counterfactual.</w:t>
      </w:r>
    </w:p>
    <w:p w14:paraId="090E88BE" w14:textId="257E812C" w:rsidR="00910C13" w:rsidRPr="00910C13" w:rsidRDefault="00910C13" w:rsidP="00910C13">
      <w:pPr>
        <w:pStyle w:val="ListParagraph"/>
        <w:numPr>
          <w:ilvl w:val="0"/>
          <w:numId w:val="2"/>
        </w:numPr>
        <w:rPr>
          <w:rFonts w:ascii="Calibri" w:hAnsi="Calibri" w:cs="Calibri"/>
          <w:color w:val="666666"/>
          <w:sz w:val="24"/>
          <w:szCs w:val="24"/>
          <w:shd w:val="clear" w:color="auto" w:fill="FFFFFF"/>
        </w:rPr>
      </w:pPr>
      <w:r w:rsidRPr="00910C13"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  <w:t>Communication and use</w:t>
      </w:r>
      <w:r w:rsidRPr="00910C13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: Learning and accountability, dissemination of results, outcome management</w:t>
      </w:r>
      <w:r w:rsidR="00ED54F5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, knowledge management</w:t>
      </w:r>
    </w:p>
    <w:p w14:paraId="40250866" w14:textId="203C5B20" w:rsidR="00910C13" w:rsidRPr="00D315B5" w:rsidRDefault="00910C13" w:rsidP="00246D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0C13"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  <w:t>Use of technology in evaluation</w:t>
      </w:r>
      <w:r w:rsidRPr="00910C13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:  Tech-powered collection of data, data analytics in evaluation</w:t>
      </w:r>
      <w:r w:rsidR="00D315B5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, big data</w:t>
      </w:r>
    </w:p>
    <w:p w14:paraId="757CE6C8" w14:textId="0235C218" w:rsidR="00D315B5" w:rsidRDefault="00D315B5" w:rsidP="00246D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  <w:t>Innovations in evaluation practice</w:t>
      </w:r>
      <w:r w:rsidRPr="00D315B5">
        <w:rPr>
          <w:rFonts w:ascii="Calibri" w:hAnsi="Calibri" w:cs="Calibri"/>
          <w:sz w:val="24"/>
          <w:szCs w:val="24"/>
        </w:rPr>
        <w:t>:</w:t>
      </w:r>
      <w:r>
        <w:rPr>
          <w:sz w:val="24"/>
          <w:szCs w:val="24"/>
        </w:rPr>
        <w:t xml:space="preserve"> innovations in evaluation methods, innovations in use of evaluation.</w:t>
      </w:r>
    </w:p>
    <w:p w14:paraId="21FCEC6E" w14:textId="77777777" w:rsidR="00D315B5" w:rsidRDefault="00D315B5" w:rsidP="00D315B5">
      <w:pPr>
        <w:pStyle w:val="ListParagraph"/>
        <w:rPr>
          <w:b/>
          <w:bCs/>
          <w:sz w:val="32"/>
          <w:szCs w:val="32"/>
        </w:rPr>
      </w:pPr>
    </w:p>
    <w:p w14:paraId="12141A10" w14:textId="7E09C77B" w:rsidR="00D315B5" w:rsidRPr="00D315B5" w:rsidRDefault="00D315B5" w:rsidP="00D315B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Participants</w:t>
      </w:r>
    </w:p>
    <w:p w14:paraId="33F3D98C" w14:textId="04C3A3DA" w:rsidR="00D315B5" w:rsidRDefault="00AA7C2A" w:rsidP="00D315B5">
      <w:pPr>
        <w:rPr>
          <w:sz w:val="24"/>
          <w:szCs w:val="24"/>
        </w:rPr>
      </w:pPr>
      <w:r>
        <w:rPr>
          <w:sz w:val="24"/>
          <w:szCs w:val="24"/>
        </w:rPr>
        <w:t xml:space="preserve">Participants of the conference will </w:t>
      </w:r>
      <w:r w:rsidR="00BD7EAC">
        <w:rPr>
          <w:sz w:val="24"/>
          <w:szCs w:val="24"/>
        </w:rPr>
        <w:t xml:space="preserve">mainly </w:t>
      </w:r>
      <w:r>
        <w:rPr>
          <w:sz w:val="24"/>
          <w:szCs w:val="24"/>
        </w:rPr>
        <w:t xml:space="preserve">include </w:t>
      </w:r>
      <w:r w:rsidR="00BD7EAC">
        <w:rPr>
          <w:sz w:val="24"/>
          <w:szCs w:val="24"/>
        </w:rPr>
        <w:t xml:space="preserve">development sector professionals </w:t>
      </w:r>
      <w:r w:rsidR="0005458A">
        <w:rPr>
          <w:sz w:val="24"/>
          <w:szCs w:val="24"/>
        </w:rPr>
        <w:t>working in areas related to social and economic development</w:t>
      </w:r>
      <w:r w:rsidR="00D315B5">
        <w:rPr>
          <w:sz w:val="24"/>
          <w:szCs w:val="24"/>
        </w:rPr>
        <w:t xml:space="preserve">. </w:t>
      </w:r>
      <w:r w:rsidR="00BD7EAC">
        <w:rPr>
          <w:sz w:val="24"/>
          <w:szCs w:val="24"/>
        </w:rPr>
        <w:t>However, researchers and academia will also participate in the conference.</w:t>
      </w:r>
    </w:p>
    <w:p w14:paraId="7E81B078" w14:textId="6C36D431" w:rsidR="00D315B5" w:rsidRPr="00D315B5" w:rsidRDefault="00D315B5" w:rsidP="00D315B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315B5">
        <w:rPr>
          <w:b/>
          <w:bCs/>
          <w:sz w:val="32"/>
          <w:szCs w:val="32"/>
        </w:rPr>
        <w:t xml:space="preserve">Invitation of </w:t>
      </w:r>
      <w:r w:rsidR="00901BF3">
        <w:rPr>
          <w:b/>
          <w:bCs/>
          <w:sz w:val="32"/>
          <w:szCs w:val="32"/>
        </w:rPr>
        <w:t>abstracts and papers</w:t>
      </w:r>
    </w:p>
    <w:p w14:paraId="72DC4A30" w14:textId="60828939" w:rsidR="00D315B5" w:rsidRDefault="00D315B5" w:rsidP="00D315B5">
      <w:pPr>
        <w:rPr>
          <w:sz w:val="24"/>
          <w:szCs w:val="24"/>
        </w:rPr>
      </w:pPr>
      <w:r>
        <w:rPr>
          <w:sz w:val="24"/>
          <w:szCs w:val="24"/>
        </w:rPr>
        <w:t xml:space="preserve">We will release call for abstracts by </w:t>
      </w:r>
      <w:r w:rsidR="00BD7EAC">
        <w:rPr>
          <w:sz w:val="24"/>
          <w:szCs w:val="24"/>
        </w:rPr>
        <w:t>15</w:t>
      </w:r>
      <w:r w:rsidRPr="00D315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April, 2020. Deadline of the receipt of the abstracts will be </w:t>
      </w:r>
      <w:r w:rsidR="00BD7EAC">
        <w:rPr>
          <w:sz w:val="24"/>
          <w:szCs w:val="24"/>
        </w:rPr>
        <w:t>30</w:t>
      </w:r>
      <w:r w:rsidRPr="00D315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April. </w:t>
      </w:r>
      <w:r w:rsidR="00901BF3">
        <w:rPr>
          <w:sz w:val="24"/>
          <w:szCs w:val="24"/>
        </w:rPr>
        <w:t xml:space="preserve"> Selected abstracts will be notified by 2</w:t>
      </w:r>
      <w:r w:rsidR="00BD7EAC" w:rsidRPr="00BD7EAC">
        <w:rPr>
          <w:sz w:val="24"/>
          <w:szCs w:val="24"/>
          <w:vertAlign w:val="superscript"/>
        </w:rPr>
        <w:t>nd</w:t>
      </w:r>
      <w:r w:rsidR="00BD7EAC">
        <w:rPr>
          <w:sz w:val="24"/>
          <w:szCs w:val="24"/>
        </w:rPr>
        <w:t xml:space="preserve"> May</w:t>
      </w:r>
      <w:r w:rsidR="00901BF3">
        <w:rPr>
          <w:sz w:val="24"/>
          <w:szCs w:val="24"/>
        </w:rPr>
        <w:t xml:space="preserve">. Authors of the selected abstracts will be asked to send their </w:t>
      </w:r>
      <w:r w:rsidR="00BD7EAC">
        <w:rPr>
          <w:sz w:val="24"/>
          <w:szCs w:val="24"/>
        </w:rPr>
        <w:t xml:space="preserve">presentations and/or articles </w:t>
      </w:r>
      <w:r w:rsidR="00901BF3">
        <w:rPr>
          <w:sz w:val="24"/>
          <w:szCs w:val="24"/>
        </w:rPr>
        <w:t>by 2</w:t>
      </w:r>
      <w:r w:rsidR="00BD7EAC">
        <w:rPr>
          <w:sz w:val="24"/>
          <w:szCs w:val="24"/>
        </w:rPr>
        <w:t>5</w:t>
      </w:r>
      <w:r w:rsidR="00901BF3" w:rsidRPr="00901BF3">
        <w:rPr>
          <w:sz w:val="24"/>
          <w:szCs w:val="24"/>
          <w:vertAlign w:val="superscript"/>
        </w:rPr>
        <w:t>th</w:t>
      </w:r>
      <w:r w:rsidR="00901BF3">
        <w:rPr>
          <w:sz w:val="24"/>
          <w:szCs w:val="24"/>
        </w:rPr>
        <w:t xml:space="preserve"> May and selected articles</w:t>
      </w:r>
      <w:r w:rsidR="00BD7EAC">
        <w:rPr>
          <w:sz w:val="24"/>
          <w:szCs w:val="24"/>
        </w:rPr>
        <w:t>/presentations</w:t>
      </w:r>
      <w:r w:rsidR="00901BF3">
        <w:rPr>
          <w:sz w:val="24"/>
          <w:szCs w:val="24"/>
        </w:rPr>
        <w:t xml:space="preserve"> will be notified by </w:t>
      </w:r>
      <w:r w:rsidR="00BD7EAC">
        <w:rPr>
          <w:sz w:val="24"/>
          <w:szCs w:val="24"/>
        </w:rPr>
        <w:t>26</w:t>
      </w:r>
      <w:r w:rsidR="00BD7EAC" w:rsidRPr="00BD7EAC">
        <w:rPr>
          <w:sz w:val="24"/>
          <w:szCs w:val="24"/>
          <w:vertAlign w:val="superscript"/>
        </w:rPr>
        <w:t>th</w:t>
      </w:r>
      <w:r w:rsidR="00BD7EAC">
        <w:rPr>
          <w:sz w:val="24"/>
          <w:szCs w:val="24"/>
        </w:rPr>
        <w:t xml:space="preserve"> </w:t>
      </w:r>
      <w:r w:rsidR="00901BF3">
        <w:rPr>
          <w:sz w:val="24"/>
          <w:szCs w:val="24"/>
        </w:rPr>
        <w:t>May for presentation in the conference.</w:t>
      </w:r>
      <w:r w:rsidR="001C2A85">
        <w:rPr>
          <w:sz w:val="24"/>
          <w:szCs w:val="24"/>
        </w:rPr>
        <w:t xml:space="preserve"> </w:t>
      </w:r>
    </w:p>
    <w:p w14:paraId="1FD05840" w14:textId="1AB35706" w:rsidR="00901BF3" w:rsidRPr="00901BF3" w:rsidRDefault="00901BF3" w:rsidP="00901BF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01BF3">
        <w:rPr>
          <w:b/>
          <w:bCs/>
          <w:sz w:val="32"/>
          <w:szCs w:val="32"/>
        </w:rPr>
        <w:t>Program of the conference</w:t>
      </w:r>
    </w:p>
    <w:p w14:paraId="3D04CC51" w14:textId="758304D7" w:rsidR="00901BF3" w:rsidRDefault="00901BF3" w:rsidP="00901BF3">
      <w:pPr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  <w:lastRenderedPageBreak/>
        <w:t>The conference will be held on 3-4 June, 2020.</w:t>
      </w:r>
    </w:p>
    <w:p w14:paraId="3E5DA08B" w14:textId="0AD74725" w:rsidR="004D1D3A" w:rsidRDefault="004D1D3A" w:rsidP="00901BF3">
      <w:pPr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710"/>
        <w:gridCol w:w="6745"/>
      </w:tblGrid>
      <w:tr w:rsidR="00901BF3" w14:paraId="5E1E141C" w14:textId="77777777" w:rsidTr="007C558A">
        <w:tc>
          <w:tcPr>
            <w:tcW w:w="895" w:type="dxa"/>
          </w:tcPr>
          <w:p w14:paraId="54588FCE" w14:textId="5483540F" w:rsidR="00901BF3" w:rsidRDefault="00901BF3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1710" w:type="dxa"/>
          </w:tcPr>
          <w:p w14:paraId="6491C61F" w14:textId="69720738" w:rsidR="00901BF3" w:rsidRDefault="00901BF3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Time</w:t>
            </w:r>
            <w:r w:rsidR="00397666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GMT</w:t>
            </w:r>
          </w:p>
        </w:tc>
        <w:tc>
          <w:tcPr>
            <w:tcW w:w="6745" w:type="dxa"/>
          </w:tcPr>
          <w:p w14:paraId="476A8FDE" w14:textId="6FDC4BBE" w:rsidR="00901BF3" w:rsidRDefault="00901BF3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Sessions</w:t>
            </w:r>
          </w:p>
        </w:tc>
      </w:tr>
      <w:tr w:rsidR="00901BF3" w14:paraId="1E0752BE" w14:textId="77777777" w:rsidTr="007C558A">
        <w:tc>
          <w:tcPr>
            <w:tcW w:w="895" w:type="dxa"/>
          </w:tcPr>
          <w:p w14:paraId="42F6558E" w14:textId="1489EA9C" w:rsidR="00901BF3" w:rsidRDefault="00BD7EAC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4</w:t>
            </w:r>
            <w:r w:rsidR="00743C43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June</w:t>
            </w:r>
          </w:p>
        </w:tc>
        <w:tc>
          <w:tcPr>
            <w:tcW w:w="1710" w:type="dxa"/>
          </w:tcPr>
          <w:p w14:paraId="7F3D0B30" w14:textId="6C6ED93D" w:rsidR="00901BF3" w:rsidRDefault="00BD7EAC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10</w:t>
            </w:r>
            <w:r w:rsidR="00397666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AM – </w:t>
            </w: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1</w:t>
            </w:r>
            <w:r w:rsidR="00397666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C26F1A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P</w:t>
            </w:r>
            <w:r w:rsidR="00397666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M </w:t>
            </w:r>
          </w:p>
        </w:tc>
        <w:tc>
          <w:tcPr>
            <w:tcW w:w="6745" w:type="dxa"/>
          </w:tcPr>
          <w:p w14:paraId="63E33223" w14:textId="34224A3E" w:rsidR="00901BF3" w:rsidRDefault="00C26F1A" w:rsidP="00901BF3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M&amp;E Methods and Practices</w:t>
            </w:r>
          </w:p>
        </w:tc>
      </w:tr>
      <w:tr w:rsidR="007C558A" w14:paraId="56B1611B" w14:textId="77777777" w:rsidTr="007C558A">
        <w:tc>
          <w:tcPr>
            <w:tcW w:w="895" w:type="dxa"/>
          </w:tcPr>
          <w:p w14:paraId="37CBBE8C" w14:textId="77777777" w:rsidR="007C558A" w:rsidRDefault="007C558A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1E59DB9A" w14:textId="5F072FCA" w:rsidR="007C558A" w:rsidRDefault="00C26F1A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2</w:t>
            </w:r>
            <w:r w:rsidR="007C558A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P</w:t>
            </w:r>
            <w:r w:rsidR="007C558A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M – </w:t>
            </w: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4</w:t>
            </w:r>
            <w:r w:rsidR="007C558A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ED770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P</w:t>
            </w:r>
            <w:r w:rsidR="007C558A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6745" w:type="dxa"/>
          </w:tcPr>
          <w:p w14:paraId="784A5525" w14:textId="47D613F3" w:rsidR="007C558A" w:rsidRDefault="00C26F1A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Case Studies</w:t>
            </w:r>
          </w:p>
        </w:tc>
      </w:tr>
      <w:tr w:rsidR="00ED7700" w14:paraId="157EA8A1" w14:textId="77777777" w:rsidTr="007C558A">
        <w:tc>
          <w:tcPr>
            <w:tcW w:w="895" w:type="dxa"/>
          </w:tcPr>
          <w:p w14:paraId="25D89649" w14:textId="77777777" w:rsidR="00ED7700" w:rsidRDefault="00ED7700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010A2A8B" w14:textId="624DE452" w:rsidR="00ED7700" w:rsidRDefault="00FB14FC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4</w:t>
            </w:r>
            <w:r w:rsidR="00ED770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PM – </w:t>
            </w: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>5</w:t>
            </w:r>
            <w:r w:rsidR="00ED7700"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PM</w:t>
            </w:r>
          </w:p>
        </w:tc>
        <w:tc>
          <w:tcPr>
            <w:tcW w:w="6745" w:type="dxa"/>
          </w:tcPr>
          <w:p w14:paraId="7E0EB690" w14:textId="3CEC1221" w:rsidR="00ED7700" w:rsidRDefault="00FB14FC" w:rsidP="007C558A">
            <w:pP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Open group discussions on trends and challenges in evaluation  </w:t>
            </w:r>
          </w:p>
        </w:tc>
      </w:tr>
    </w:tbl>
    <w:p w14:paraId="64C1BB6F" w14:textId="66BBABC5" w:rsidR="00901BF3" w:rsidRDefault="00901BF3" w:rsidP="00901BF3">
      <w:pPr>
        <w:rPr>
          <w:rFonts w:ascii="Calibri" w:hAnsi="Calibri" w:cs="Calibri"/>
          <w:b/>
          <w:bCs/>
          <w:color w:val="666666"/>
          <w:sz w:val="24"/>
          <w:szCs w:val="24"/>
          <w:shd w:val="clear" w:color="auto" w:fill="FFFFFF"/>
        </w:rPr>
      </w:pPr>
    </w:p>
    <w:p w14:paraId="7F13696C" w14:textId="6CD1F231" w:rsidR="008E2A2F" w:rsidRPr="008E2A2F" w:rsidRDefault="008E2A2F" w:rsidP="008E2A2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E2A2F">
        <w:rPr>
          <w:b/>
          <w:bCs/>
          <w:sz w:val="32"/>
          <w:szCs w:val="32"/>
        </w:rPr>
        <w:t>Mode of presentations</w:t>
      </w:r>
    </w:p>
    <w:p w14:paraId="4D453A0F" w14:textId="0C38D481" w:rsidR="008E2A2F" w:rsidRDefault="008E2A2F" w:rsidP="00D315B5">
      <w:pPr>
        <w:rPr>
          <w:sz w:val="24"/>
          <w:szCs w:val="24"/>
        </w:rPr>
      </w:pPr>
      <w:r>
        <w:rPr>
          <w:sz w:val="24"/>
          <w:szCs w:val="24"/>
        </w:rPr>
        <w:t>Multiple modes of presentations will be used including Skype, Youtube</w:t>
      </w:r>
      <w:r w:rsidR="00FB14FC">
        <w:rPr>
          <w:sz w:val="24"/>
          <w:szCs w:val="24"/>
        </w:rPr>
        <w:t>, GoToWebinar</w:t>
      </w:r>
      <w:r>
        <w:rPr>
          <w:sz w:val="24"/>
          <w:szCs w:val="24"/>
        </w:rPr>
        <w:t xml:space="preserve"> </w:t>
      </w:r>
      <w:r w:rsidR="00FB14FC">
        <w:rPr>
          <w:sz w:val="24"/>
          <w:szCs w:val="24"/>
        </w:rPr>
        <w:t>or</w:t>
      </w:r>
      <w:r>
        <w:rPr>
          <w:sz w:val="24"/>
          <w:szCs w:val="24"/>
        </w:rPr>
        <w:t xml:space="preserve"> Facebook so as to accommodate participants having access to different technologies.</w:t>
      </w:r>
      <w:r w:rsidR="00F33267">
        <w:rPr>
          <w:sz w:val="24"/>
          <w:szCs w:val="24"/>
        </w:rPr>
        <w:t xml:space="preserve"> Each session will be chaired and moderated by a panel of experts. </w:t>
      </w:r>
    </w:p>
    <w:sectPr w:rsidR="008E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F59"/>
    <w:multiLevelType w:val="hybridMultilevel"/>
    <w:tmpl w:val="50A8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68F"/>
    <w:multiLevelType w:val="hybridMultilevel"/>
    <w:tmpl w:val="98A4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20C8"/>
    <w:multiLevelType w:val="hybridMultilevel"/>
    <w:tmpl w:val="C294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B6"/>
    <w:rsid w:val="0005458A"/>
    <w:rsid w:val="00065E81"/>
    <w:rsid w:val="000D6019"/>
    <w:rsid w:val="00110B3A"/>
    <w:rsid w:val="00142BF9"/>
    <w:rsid w:val="001C2A85"/>
    <w:rsid w:val="00200CAD"/>
    <w:rsid w:val="002128DF"/>
    <w:rsid w:val="00255057"/>
    <w:rsid w:val="002A7633"/>
    <w:rsid w:val="002E08E8"/>
    <w:rsid w:val="00303478"/>
    <w:rsid w:val="00310D56"/>
    <w:rsid w:val="00354A3B"/>
    <w:rsid w:val="00365AEE"/>
    <w:rsid w:val="00391F57"/>
    <w:rsid w:val="003927E9"/>
    <w:rsid w:val="00397666"/>
    <w:rsid w:val="003F3DE9"/>
    <w:rsid w:val="00406463"/>
    <w:rsid w:val="00415BB5"/>
    <w:rsid w:val="00466D1D"/>
    <w:rsid w:val="004D1D3A"/>
    <w:rsid w:val="004E0DD3"/>
    <w:rsid w:val="00505745"/>
    <w:rsid w:val="00516464"/>
    <w:rsid w:val="005208C1"/>
    <w:rsid w:val="00542085"/>
    <w:rsid w:val="005733DF"/>
    <w:rsid w:val="005B6114"/>
    <w:rsid w:val="00656252"/>
    <w:rsid w:val="00661377"/>
    <w:rsid w:val="006751EB"/>
    <w:rsid w:val="00691A2D"/>
    <w:rsid w:val="006E00D8"/>
    <w:rsid w:val="00716E96"/>
    <w:rsid w:val="00743C43"/>
    <w:rsid w:val="007B0DEE"/>
    <w:rsid w:val="007C4BFB"/>
    <w:rsid w:val="007C558A"/>
    <w:rsid w:val="00817011"/>
    <w:rsid w:val="008636FB"/>
    <w:rsid w:val="008E2A2F"/>
    <w:rsid w:val="00901BF3"/>
    <w:rsid w:val="00910C13"/>
    <w:rsid w:val="0091598E"/>
    <w:rsid w:val="00A202FB"/>
    <w:rsid w:val="00A34FEF"/>
    <w:rsid w:val="00A65952"/>
    <w:rsid w:val="00AA7C2A"/>
    <w:rsid w:val="00B11EB6"/>
    <w:rsid w:val="00B42AC7"/>
    <w:rsid w:val="00B94B2D"/>
    <w:rsid w:val="00BD7EAC"/>
    <w:rsid w:val="00BE7EFF"/>
    <w:rsid w:val="00C104E6"/>
    <w:rsid w:val="00C26F1A"/>
    <w:rsid w:val="00CA0B2A"/>
    <w:rsid w:val="00D315B5"/>
    <w:rsid w:val="00D55BFA"/>
    <w:rsid w:val="00D90FAF"/>
    <w:rsid w:val="00E376AB"/>
    <w:rsid w:val="00E74E1A"/>
    <w:rsid w:val="00E9121F"/>
    <w:rsid w:val="00ED54F5"/>
    <w:rsid w:val="00ED7700"/>
    <w:rsid w:val="00F14A47"/>
    <w:rsid w:val="00F33267"/>
    <w:rsid w:val="00F55D41"/>
    <w:rsid w:val="00FB14FC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E6ED"/>
  <w15:chartTrackingRefBased/>
  <w15:docId w15:val="{129315FA-AB7B-4EC1-8804-CF55CD1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E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1EB6"/>
    <w:rPr>
      <w:color w:val="0000FF"/>
      <w:u w:val="single"/>
    </w:rPr>
  </w:style>
  <w:style w:type="table" w:styleId="TableGrid">
    <w:name w:val="Table Grid"/>
    <w:basedOn w:val="TableNormal"/>
    <w:uiPriority w:val="39"/>
    <w:rsid w:val="009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5F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F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F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F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F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intag</dc:creator>
  <cp:keywords/>
  <dc:description/>
  <cp:lastModifiedBy>intag</cp:lastModifiedBy>
  <cp:revision>11</cp:revision>
  <dcterms:created xsi:type="dcterms:W3CDTF">2020-04-03T06:46:00Z</dcterms:created>
  <dcterms:modified xsi:type="dcterms:W3CDTF">2020-04-03T07:01:00Z</dcterms:modified>
</cp:coreProperties>
</file>